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8477" w14:textId="77777777" w:rsidR="003A3154" w:rsidRPr="00D73D1D" w:rsidRDefault="00000000">
      <w:pPr>
        <w:spacing w:before="39"/>
        <w:ind w:left="4416" w:firstLine="607"/>
        <w:rPr>
          <w:sz w:val="18"/>
          <w:szCs w:val="22"/>
        </w:rPr>
      </w:pPr>
      <w:r w:rsidRPr="00D73D1D">
        <w:rPr>
          <w:spacing w:val="-2"/>
          <w:sz w:val="18"/>
          <w:szCs w:val="22"/>
        </w:rPr>
        <w:t xml:space="preserve">Annex No. 2 to the Regulations of the Student Dormitories of the Stanisław Moniuszko Academy of Music in Gdańsk </w:t>
      </w:r>
    </w:p>
    <w:p w14:paraId="472F99DA" w14:textId="77777777" w:rsidR="003A3154" w:rsidRPr="00D73D1D" w:rsidRDefault="003A3154">
      <w:pPr>
        <w:pStyle w:val="Tekstpodstawowy"/>
        <w:rPr>
          <w:sz w:val="18"/>
          <w:szCs w:val="22"/>
        </w:rPr>
      </w:pPr>
    </w:p>
    <w:p w14:paraId="082E2B1F" w14:textId="77777777" w:rsidR="003A3154" w:rsidRPr="00D73D1D" w:rsidRDefault="003A3154" w:rsidP="00D73D1D">
      <w:pPr>
        <w:pStyle w:val="Tekstpodstawowy"/>
        <w:jc w:val="right"/>
        <w:rPr>
          <w:sz w:val="18"/>
          <w:szCs w:val="22"/>
        </w:rPr>
      </w:pPr>
    </w:p>
    <w:p w14:paraId="6E38FF74" w14:textId="77777777" w:rsidR="003A3154" w:rsidRPr="00D73D1D" w:rsidRDefault="003A3154">
      <w:pPr>
        <w:pStyle w:val="Tekstpodstawowy"/>
        <w:rPr>
          <w:sz w:val="18"/>
          <w:szCs w:val="22"/>
        </w:rPr>
      </w:pPr>
    </w:p>
    <w:p w14:paraId="1BACF204" w14:textId="77777777" w:rsidR="003A3154" w:rsidRPr="00D73D1D" w:rsidRDefault="003A3154">
      <w:pPr>
        <w:pStyle w:val="Tekstpodstawowy"/>
        <w:spacing w:before="48" w:after="0"/>
        <w:rPr>
          <w:sz w:val="18"/>
          <w:szCs w:val="22"/>
        </w:rPr>
      </w:pPr>
    </w:p>
    <w:p w14:paraId="54CD3415" w14:textId="77777777" w:rsidR="003A3154" w:rsidRPr="00D73D1D" w:rsidRDefault="00000000">
      <w:pPr>
        <w:pStyle w:val="Tytu"/>
        <w:rPr>
          <w:sz w:val="34"/>
          <w:szCs w:val="32"/>
        </w:rPr>
      </w:pPr>
      <w:r w:rsidRPr="00D73D1D">
        <w:rPr>
          <w:sz w:val="34"/>
          <w:szCs w:val="32"/>
        </w:rPr>
        <w:t xml:space="preserve">ALLOCATION OF ROOMS IN STUDENT DORMITORIES </w:t>
      </w:r>
    </w:p>
    <w:p w14:paraId="5F53DF0C" w14:textId="77777777" w:rsidR="003A3154" w:rsidRPr="00D73D1D" w:rsidRDefault="003A3154">
      <w:pPr>
        <w:pStyle w:val="Tekstpodstawowy"/>
        <w:spacing w:before="145" w:after="0"/>
        <w:rPr>
          <w:b/>
          <w:sz w:val="34"/>
          <w:szCs w:val="22"/>
        </w:rPr>
      </w:pPr>
    </w:p>
    <w:p w14:paraId="2FA0ABE6" w14:textId="77777777" w:rsidR="003A3154" w:rsidRPr="00D73D1D" w:rsidRDefault="00000000">
      <w:pPr>
        <w:pStyle w:val="Akapitzlist"/>
        <w:numPr>
          <w:ilvl w:val="0"/>
          <w:numId w:val="1"/>
        </w:numPr>
        <w:tabs>
          <w:tab w:val="left" w:pos="926"/>
        </w:tabs>
        <w:spacing w:before="2"/>
        <w:ind w:right="114"/>
        <w:rPr>
          <w:sz w:val="22"/>
          <w:szCs w:val="22"/>
        </w:rPr>
      </w:pPr>
      <w:r w:rsidRPr="00D73D1D">
        <w:rPr>
          <w:sz w:val="22"/>
          <w:szCs w:val="22"/>
        </w:rPr>
        <w:t xml:space="preserve">Allocation of places in specific rooms is carried out in accordance with the year of study, income, and the order on the application list for a place in the student dormitory, held by prospective dormitory residents, and proceeds in the following order:  </w:t>
      </w:r>
    </w:p>
    <w:p w14:paraId="41EF568B" w14:textId="77777777" w:rsidR="003A3154" w:rsidRPr="00D73D1D" w:rsidRDefault="00000000">
      <w:pPr>
        <w:pStyle w:val="Akapitzlist"/>
        <w:tabs>
          <w:tab w:val="left" w:pos="2108"/>
        </w:tabs>
        <w:spacing w:line="293" w:lineRule="exact"/>
        <w:ind w:left="822" w:firstLine="0"/>
        <w:rPr>
          <w:sz w:val="22"/>
          <w:szCs w:val="22"/>
        </w:rPr>
      </w:pPr>
      <w:r w:rsidRPr="00D73D1D">
        <w:rPr>
          <w:spacing w:val="-2"/>
          <w:sz w:val="22"/>
          <w:szCs w:val="22"/>
        </w:rPr>
        <w:t>a) single rooms,</w:t>
      </w:r>
      <w:r w:rsidRPr="00D73D1D">
        <w:rPr>
          <w:spacing w:val="-2"/>
          <w:sz w:val="22"/>
          <w:szCs w:val="22"/>
        </w:rPr>
        <w:br/>
        <w:t>b) double rooms,</w:t>
      </w:r>
      <w:r w:rsidRPr="00D73D1D">
        <w:rPr>
          <w:spacing w:val="-2"/>
          <w:sz w:val="22"/>
          <w:szCs w:val="22"/>
        </w:rPr>
        <w:br/>
        <w:t xml:space="preserve">c) triple rooms. </w:t>
      </w:r>
    </w:p>
    <w:p w14:paraId="15D7F0FC" w14:textId="77777777" w:rsidR="003A3154" w:rsidRPr="00D73D1D" w:rsidRDefault="00000000">
      <w:pPr>
        <w:pStyle w:val="Akapitzlist"/>
        <w:numPr>
          <w:ilvl w:val="0"/>
          <w:numId w:val="1"/>
        </w:numPr>
        <w:tabs>
          <w:tab w:val="left" w:pos="926"/>
        </w:tabs>
        <w:ind w:right="113"/>
        <w:rPr>
          <w:sz w:val="22"/>
          <w:szCs w:val="22"/>
        </w:rPr>
      </w:pPr>
      <w:r w:rsidRPr="00D73D1D">
        <w:rPr>
          <w:sz w:val="22"/>
          <w:szCs w:val="22"/>
        </w:rPr>
        <w:t xml:space="preserve">Priority for places in single rooms is given to individuals who will be in the second year of their second-cycle (master’s) studies in the upcoming academic year.  </w:t>
      </w:r>
    </w:p>
    <w:p w14:paraId="1844A8E6" w14:textId="77777777" w:rsidR="003A3154" w:rsidRPr="00D73D1D" w:rsidRDefault="00000000">
      <w:pPr>
        <w:pStyle w:val="Akapitzlist"/>
        <w:numPr>
          <w:ilvl w:val="0"/>
          <w:numId w:val="1"/>
        </w:numPr>
        <w:tabs>
          <w:tab w:val="left" w:pos="926"/>
        </w:tabs>
        <w:ind w:right="113"/>
        <w:rPr>
          <w:sz w:val="22"/>
          <w:szCs w:val="22"/>
        </w:rPr>
      </w:pPr>
      <w:r w:rsidRPr="00D73D1D">
        <w:rPr>
          <w:sz w:val="22"/>
          <w:szCs w:val="22"/>
        </w:rPr>
        <w:t xml:space="preserve">First priority for single rooms is given to students who meet the criteria specified in point 2 and who are not on a dean’s leave of absence. </w:t>
      </w:r>
    </w:p>
    <w:p w14:paraId="1D103F9F" w14:textId="77777777" w:rsidR="003A3154" w:rsidRPr="00D73D1D" w:rsidRDefault="00000000">
      <w:pPr>
        <w:pStyle w:val="Akapitzlist"/>
        <w:numPr>
          <w:ilvl w:val="0"/>
          <w:numId w:val="1"/>
        </w:numPr>
        <w:tabs>
          <w:tab w:val="left" w:pos="926"/>
        </w:tabs>
        <w:ind w:right="113"/>
        <w:rPr>
          <w:sz w:val="22"/>
          <w:szCs w:val="22"/>
        </w:rPr>
      </w:pPr>
      <w:r w:rsidRPr="00D73D1D">
        <w:rPr>
          <w:sz w:val="22"/>
          <w:szCs w:val="22"/>
        </w:rPr>
        <w:t xml:space="preserve">The provisions of point 3 do not apply to Year Representatives who, while on a dean’s leave of absence, continue to perform their assigned duties.  </w:t>
      </w:r>
    </w:p>
    <w:p w14:paraId="136575DB" w14:textId="77777777" w:rsidR="003A3154" w:rsidRPr="00D73D1D" w:rsidRDefault="00000000">
      <w:pPr>
        <w:pStyle w:val="Akapitzlist"/>
        <w:numPr>
          <w:ilvl w:val="0"/>
          <w:numId w:val="1"/>
        </w:numPr>
        <w:tabs>
          <w:tab w:val="left" w:pos="926"/>
        </w:tabs>
        <w:ind w:right="114"/>
        <w:jc w:val="both"/>
        <w:rPr>
          <w:sz w:val="22"/>
          <w:szCs w:val="22"/>
        </w:rPr>
      </w:pPr>
      <w:r w:rsidRPr="00D73D1D">
        <w:rPr>
          <w:sz w:val="22"/>
          <w:szCs w:val="22"/>
        </w:rPr>
        <w:t xml:space="preserve">If not all single rooms are occupied, priority for their allocation passes to students in the first year of second-cycle (master’s) studies, and then to those one year below, i.e., students in the final year of first-cycle (bachelor’s) studies.  </w:t>
      </w:r>
    </w:p>
    <w:p w14:paraId="366703CA" w14:textId="77777777" w:rsidR="003A3154" w:rsidRPr="00D73D1D" w:rsidRDefault="00000000">
      <w:pPr>
        <w:pStyle w:val="Akapitzlist"/>
        <w:numPr>
          <w:ilvl w:val="0"/>
          <w:numId w:val="1"/>
        </w:numPr>
        <w:tabs>
          <w:tab w:val="left" w:pos="926"/>
        </w:tabs>
        <w:ind w:right="113"/>
        <w:jc w:val="both"/>
        <w:rPr>
          <w:sz w:val="22"/>
          <w:szCs w:val="22"/>
        </w:rPr>
      </w:pPr>
      <w:r w:rsidRPr="00D73D1D">
        <w:rPr>
          <w:sz w:val="22"/>
          <w:szCs w:val="22"/>
        </w:rPr>
        <w:t xml:space="preserve">Priority for places in double rooms is given to individuals who will be in the first and second years of second-cycle (master’s) studies in the upcoming academic year, </w:t>
      </w:r>
    </w:p>
    <w:p w14:paraId="29091CD3" w14:textId="77777777" w:rsidR="003A3154" w:rsidRPr="00D73D1D" w:rsidRDefault="00000000">
      <w:pPr>
        <w:pStyle w:val="Akapitzlist"/>
        <w:numPr>
          <w:ilvl w:val="0"/>
          <w:numId w:val="1"/>
        </w:numPr>
        <w:tabs>
          <w:tab w:val="left" w:pos="926"/>
        </w:tabs>
        <w:ind w:right="113"/>
        <w:jc w:val="both"/>
        <w:rPr>
          <w:sz w:val="22"/>
          <w:szCs w:val="22"/>
        </w:rPr>
      </w:pPr>
      <w:r w:rsidRPr="00D73D1D">
        <w:rPr>
          <w:sz w:val="22"/>
          <w:szCs w:val="22"/>
        </w:rPr>
        <w:t xml:space="preserve">If places in double rooms are not fully occupied by first- and second-year second-cycle (master’s) students, the right to reside in these rooms passes to students in the fourth, third, and second years of first-cycle (bachelor’s) studies.  </w:t>
      </w:r>
    </w:p>
    <w:p w14:paraId="5DA38638" w14:textId="77777777" w:rsidR="003A3154" w:rsidRPr="00D73D1D" w:rsidRDefault="00000000">
      <w:pPr>
        <w:pStyle w:val="Akapitzlist"/>
        <w:numPr>
          <w:ilvl w:val="0"/>
          <w:numId w:val="1"/>
        </w:numPr>
        <w:tabs>
          <w:tab w:val="left" w:pos="924"/>
          <w:tab w:val="left" w:pos="926"/>
        </w:tabs>
        <w:ind w:right="112"/>
        <w:jc w:val="both"/>
        <w:rPr>
          <w:sz w:val="22"/>
          <w:szCs w:val="22"/>
        </w:rPr>
      </w:pPr>
      <w:r w:rsidRPr="00D73D1D">
        <w:rPr>
          <w:sz w:val="22"/>
          <w:szCs w:val="22"/>
        </w:rPr>
        <w:t xml:space="preserve">A student has the right to be reallocated (for the following academic year) to the room they previously occupied, provided this does not conflict with the rules set forth in this annex. This rule applies only to double and triple rooms.  </w:t>
      </w:r>
    </w:p>
    <w:p w14:paraId="6560FBB1" w14:textId="3720911E" w:rsidR="003A3154" w:rsidRPr="00D73D1D" w:rsidRDefault="00000000" w:rsidP="00D73D1D">
      <w:pPr>
        <w:pStyle w:val="Indeks"/>
        <w:numPr>
          <w:ilvl w:val="0"/>
          <w:numId w:val="1"/>
        </w:numPr>
      </w:pPr>
      <w:r w:rsidRPr="00D73D1D">
        <w:t>For each academic year, depending on needs, the following rooms are made available:</w:t>
      </w:r>
      <w:r w:rsidRPr="00D73D1D">
        <w:br/>
        <w:t> a) for persons with disabilities (students are entitled to these upon submission of the appropriate certificate),</w:t>
      </w:r>
      <w:r w:rsidRPr="00D73D1D">
        <w:br/>
        <w:t> b)</w:t>
      </w:r>
      <w:r w:rsidR="00D73D1D" w:rsidRPr="00D73D1D">
        <w:t xml:space="preserve"> </w:t>
      </w:r>
      <w:r w:rsidRPr="00D73D1D">
        <w:t>marital rooms,</w:t>
      </w:r>
      <w:r w:rsidRPr="00D73D1D">
        <w:br/>
        <w:t xml:space="preserve"> c) for single parents raising a child/children alone.  </w:t>
      </w:r>
    </w:p>
    <w:p w14:paraId="54A49DFA" w14:textId="77777777" w:rsidR="003A3154" w:rsidRPr="00D73D1D" w:rsidRDefault="00000000">
      <w:pPr>
        <w:pStyle w:val="Akapitzlist"/>
        <w:numPr>
          <w:ilvl w:val="0"/>
          <w:numId w:val="1"/>
        </w:numPr>
        <w:tabs>
          <w:tab w:val="left" w:pos="1153"/>
        </w:tabs>
        <w:rPr>
          <w:sz w:val="22"/>
          <w:szCs w:val="22"/>
        </w:rPr>
      </w:pPr>
      <w:r w:rsidRPr="00D73D1D">
        <w:rPr>
          <w:sz w:val="22"/>
          <w:szCs w:val="22"/>
        </w:rPr>
        <w:t xml:space="preserve">In the case of applications for places in the rooms specified in point 9, allocation is made according to the applicant’s position on the dormitory application list, taking into account the applicant’s income and distance from their place of residence. </w:t>
      </w:r>
    </w:p>
    <w:p w14:paraId="4A4D5025" w14:textId="77777777" w:rsidR="003A3154" w:rsidRPr="00D73D1D" w:rsidRDefault="00000000">
      <w:pPr>
        <w:pStyle w:val="Akapitzlist"/>
        <w:numPr>
          <w:ilvl w:val="0"/>
          <w:numId w:val="1"/>
        </w:numPr>
        <w:tabs>
          <w:tab w:val="left" w:pos="1153"/>
        </w:tabs>
        <w:rPr>
          <w:sz w:val="22"/>
          <w:szCs w:val="22"/>
        </w:rPr>
      </w:pPr>
      <w:r w:rsidRPr="00D73D1D">
        <w:rPr>
          <w:spacing w:val="-2"/>
          <w:sz w:val="22"/>
          <w:szCs w:val="22"/>
        </w:rPr>
        <w:t xml:space="preserve">If it is not organizationally possible to fulfill the requests stated on the second page of the dormitory application form, room assignments will be made according to gender.  </w:t>
      </w:r>
    </w:p>
    <w:p w14:paraId="13086A7E" w14:textId="77777777" w:rsidR="003A3154" w:rsidRPr="00D73D1D" w:rsidRDefault="003A3154">
      <w:pPr>
        <w:tabs>
          <w:tab w:val="left" w:pos="690"/>
        </w:tabs>
        <w:rPr>
          <w:sz w:val="22"/>
          <w:szCs w:val="22"/>
          <w:highlight w:val="magenta"/>
        </w:rPr>
      </w:pPr>
    </w:p>
    <w:sectPr w:rsidR="003A3154" w:rsidRPr="00D73D1D" w:rsidSect="00D73D1D">
      <w:pgSz w:w="11906" w:h="16838"/>
      <w:pgMar w:top="1417" w:right="1417" w:bottom="1417" w:left="1417"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40FE" w14:textId="77777777" w:rsidR="006722C3" w:rsidRDefault="006722C3" w:rsidP="00D73D1D">
      <w:pPr>
        <w:rPr>
          <w:rFonts w:hint="eastAsia"/>
        </w:rPr>
      </w:pPr>
      <w:r>
        <w:separator/>
      </w:r>
    </w:p>
  </w:endnote>
  <w:endnote w:type="continuationSeparator" w:id="0">
    <w:p w14:paraId="6D37CB80" w14:textId="77777777" w:rsidR="006722C3" w:rsidRDefault="006722C3" w:rsidP="00D73D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BB28" w14:textId="77777777" w:rsidR="006722C3" w:rsidRDefault="006722C3" w:rsidP="00D73D1D">
      <w:pPr>
        <w:rPr>
          <w:rFonts w:hint="eastAsia"/>
        </w:rPr>
      </w:pPr>
      <w:r>
        <w:separator/>
      </w:r>
    </w:p>
  </w:footnote>
  <w:footnote w:type="continuationSeparator" w:id="0">
    <w:p w14:paraId="62E82989" w14:textId="77777777" w:rsidR="006722C3" w:rsidRDefault="006722C3" w:rsidP="00D73D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579EA"/>
    <w:multiLevelType w:val="multilevel"/>
    <w:tmpl w:val="A81CE4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D83F13"/>
    <w:multiLevelType w:val="multilevel"/>
    <w:tmpl w:val="103878D6"/>
    <w:lvl w:ilvl="0">
      <w:start w:val="1"/>
      <w:numFmt w:val="decimal"/>
      <w:lvlText w:val="%1."/>
      <w:lvlJc w:val="left"/>
      <w:pPr>
        <w:tabs>
          <w:tab w:val="num" w:pos="0"/>
        </w:tabs>
        <w:ind w:left="463" w:hanging="360"/>
      </w:pPr>
      <w:rPr>
        <w:rFonts w:ascii="Calibri" w:eastAsia="Calibri" w:hAnsi="Calibri" w:cs="Calibri"/>
        <w:b w:val="0"/>
        <w:bCs w:val="0"/>
        <w:i w:val="0"/>
        <w:iCs w:val="0"/>
        <w:spacing w:val="0"/>
        <w:w w:val="100"/>
        <w:sz w:val="24"/>
        <w:szCs w:val="24"/>
        <w:lang w:val="pl-PL" w:eastAsia="en-US" w:bidi="ar-SA"/>
      </w:rPr>
    </w:lvl>
    <w:lvl w:ilvl="1">
      <w:start w:val="1"/>
      <w:numFmt w:val="lowerLetter"/>
      <w:lvlText w:val="%2)"/>
      <w:lvlJc w:val="left"/>
      <w:pPr>
        <w:tabs>
          <w:tab w:val="num" w:pos="0"/>
        </w:tabs>
        <w:ind w:left="823" w:hanging="360"/>
      </w:pPr>
      <w:rPr>
        <w:rFonts w:ascii="Calibri" w:eastAsia="Calibri" w:hAnsi="Calibri" w:cs="Calibri"/>
        <w:b w:val="0"/>
        <w:bCs w:val="0"/>
        <w:i w:val="0"/>
        <w:iCs w:val="0"/>
        <w:spacing w:val="0"/>
        <w:w w:val="100"/>
        <w:sz w:val="24"/>
        <w:szCs w:val="24"/>
        <w:lang w:val="pl-PL" w:eastAsia="en-US" w:bidi="ar-SA"/>
      </w:rPr>
    </w:lvl>
    <w:lvl w:ilvl="2">
      <w:numFmt w:val="bullet"/>
      <w:lvlText w:val=""/>
      <w:lvlJc w:val="left"/>
      <w:pPr>
        <w:tabs>
          <w:tab w:val="num" w:pos="0"/>
        </w:tabs>
        <w:ind w:left="1754" w:hanging="360"/>
      </w:pPr>
      <w:rPr>
        <w:rFonts w:ascii="Symbol" w:hAnsi="Symbol" w:cs="Symbol" w:hint="default"/>
        <w:lang w:val="pl-PL" w:eastAsia="en-US" w:bidi="ar-SA"/>
      </w:rPr>
    </w:lvl>
    <w:lvl w:ilvl="3">
      <w:numFmt w:val="bullet"/>
      <w:lvlText w:val=""/>
      <w:lvlJc w:val="left"/>
      <w:pPr>
        <w:tabs>
          <w:tab w:val="num" w:pos="0"/>
        </w:tabs>
        <w:ind w:left="2688" w:hanging="360"/>
      </w:pPr>
      <w:rPr>
        <w:rFonts w:ascii="Symbol" w:hAnsi="Symbol" w:cs="Symbol" w:hint="default"/>
        <w:lang w:val="pl-PL" w:eastAsia="en-US" w:bidi="ar-SA"/>
      </w:rPr>
    </w:lvl>
    <w:lvl w:ilvl="4">
      <w:numFmt w:val="bullet"/>
      <w:lvlText w:val=""/>
      <w:lvlJc w:val="left"/>
      <w:pPr>
        <w:tabs>
          <w:tab w:val="num" w:pos="0"/>
        </w:tabs>
        <w:ind w:left="3622" w:hanging="360"/>
      </w:pPr>
      <w:rPr>
        <w:rFonts w:ascii="Symbol" w:hAnsi="Symbol" w:cs="Symbol" w:hint="default"/>
        <w:lang w:val="pl-PL" w:eastAsia="en-US" w:bidi="ar-SA"/>
      </w:rPr>
    </w:lvl>
    <w:lvl w:ilvl="5">
      <w:numFmt w:val="bullet"/>
      <w:lvlText w:val=""/>
      <w:lvlJc w:val="left"/>
      <w:pPr>
        <w:tabs>
          <w:tab w:val="num" w:pos="0"/>
        </w:tabs>
        <w:ind w:left="4556" w:hanging="360"/>
      </w:pPr>
      <w:rPr>
        <w:rFonts w:ascii="Symbol" w:hAnsi="Symbol" w:cs="Symbol" w:hint="default"/>
        <w:lang w:val="pl-PL" w:eastAsia="en-US" w:bidi="ar-SA"/>
      </w:rPr>
    </w:lvl>
    <w:lvl w:ilvl="6">
      <w:numFmt w:val="bullet"/>
      <w:lvlText w:val=""/>
      <w:lvlJc w:val="left"/>
      <w:pPr>
        <w:tabs>
          <w:tab w:val="num" w:pos="0"/>
        </w:tabs>
        <w:ind w:left="5490" w:hanging="360"/>
      </w:pPr>
      <w:rPr>
        <w:rFonts w:ascii="Symbol" w:hAnsi="Symbol" w:cs="Symbol" w:hint="default"/>
        <w:lang w:val="pl-PL" w:eastAsia="en-US" w:bidi="ar-SA"/>
      </w:rPr>
    </w:lvl>
    <w:lvl w:ilvl="7">
      <w:numFmt w:val="bullet"/>
      <w:lvlText w:val=""/>
      <w:lvlJc w:val="left"/>
      <w:pPr>
        <w:tabs>
          <w:tab w:val="num" w:pos="0"/>
        </w:tabs>
        <w:ind w:left="6424" w:hanging="360"/>
      </w:pPr>
      <w:rPr>
        <w:rFonts w:ascii="Symbol" w:hAnsi="Symbol" w:cs="Symbol" w:hint="default"/>
        <w:lang w:val="pl-PL" w:eastAsia="en-US" w:bidi="ar-SA"/>
      </w:rPr>
    </w:lvl>
    <w:lvl w:ilvl="8">
      <w:numFmt w:val="bullet"/>
      <w:lvlText w:val=""/>
      <w:lvlJc w:val="left"/>
      <w:pPr>
        <w:tabs>
          <w:tab w:val="num" w:pos="0"/>
        </w:tabs>
        <w:ind w:left="7358" w:hanging="360"/>
      </w:pPr>
      <w:rPr>
        <w:rFonts w:ascii="Symbol" w:hAnsi="Symbol" w:cs="Symbol" w:hint="default"/>
        <w:lang w:val="pl-PL" w:eastAsia="en-US" w:bidi="ar-SA"/>
      </w:rPr>
    </w:lvl>
  </w:abstractNum>
  <w:num w:numId="1" w16cid:durableId="638845510">
    <w:abstractNumId w:val="1"/>
  </w:num>
  <w:num w:numId="2" w16cid:durableId="90564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54"/>
    <w:rsid w:val="003A3154"/>
    <w:rsid w:val="006722C3"/>
    <w:rsid w:val="00CD4AD4"/>
    <w:rsid w:val="00D73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E158"/>
  <w15:docId w15:val="{82F67588-A9B2-424B-A956-2FFE4D5B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Tytu">
    <w:name w:val="Title"/>
    <w:basedOn w:val="Normalny"/>
    <w:uiPriority w:val="10"/>
    <w:qFormat/>
    <w:pPr>
      <w:ind w:right="79"/>
      <w:jc w:val="center"/>
    </w:pPr>
    <w:rPr>
      <w:b/>
      <w:bCs/>
      <w:sz w:val="36"/>
      <w:szCs w:val="36"/>
    </w:rPr>
  </w:style>
  <w:style w:type="paragraph" w:styleId="Akapitzlist">
    <w:name w:val="List Paragraph"/>
    <w:basedOn w:val="Normalny"/>
    <w:qFormat/>
    <w:pPr>
      <w:ind w:left="463" w:hanging="360"/>
    </w:pPr>
  </w:style>
  <w:style w:type="paragraph" w:styleId="Stopka">
    <w:name w:val="footer"/>
    <w:basedOn w:val="Normalny"/>
    <w:link w:val="StopkaZnak"/>
    <w:uiPriority w:val="99"/>
    <w:unhideWhenUsed/>
    <w:rsid w:val="00D73D1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D73D1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6E31-03D2-4765-A774-6B4FBBDC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2169</Characters>
  <Application>Microsoft Office Word</Application>
  <DocSecurity>0</DocSecurity>
  <Lines>18</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Karolina Łapińska</cp:lastModifiedBy>
  <cp:revision>2</cp:revision>
  <dcterms:created xsi:type="dcterms:W3CDTF">2025-06-14T20:29:00Z</dcterms:created>
  <dcterms:modified xsi:type="dcterms:W3CDTF">2025-12-10T12:47:00Z</dcterms:modified>
  <dc:language>pl-PL</dc:language>
</cp:coreProperties>
</file>